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0b4c6925994944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19417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SREDNJA ŠKOLA-CENTAR ZA ODGOJ I OBRAZOVANJE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I - IX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1.558.480,92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1.864.458,99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119,6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1.608.891,51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1.868.950,31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116,2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50.410,59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4.491,32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8,9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20.738,25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70.643,13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340,6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20.738,25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70.643,13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340,6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71.148,84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75.134,45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105,6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Na izvještaju su vidljivi povećani  izdaci za nefinancijsku imovinu koji su proizašli iz ulaganja u adaptacije unutar škole, nabave građe i materijala za renoviranje dotrajalog namještaja. Zamjenjena su stara vrata, postavljene nove betonske ploče i opločnjak, nova drvena građa, popravljena su glavna vanjska vrata, napravljena nova kupaona za djecu. Navedena ulaganja neizostavan su dio ulaganja u školi koju pohađaju djeca s poteškoćama u razvoju stoga škola neprestano teži poboljšanju kvalitete boravka djece u školskom prostoru i dvorištu.</w:t>
      </w:r>
    </w:p>
    <w:p>
      <w:r>
        <w:br/>
      </w:r>
    </w:p>
  </w:body>
</w:document>
</file>

<file path=word/styles.xml><?xml version="1.0" encoding="utf-8"?>
<w:styles xmlns:w="http://schemas.openxmlformats.org/wordprocessingml/2006/main"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6dc2529f4cb94a70" /></Relationships>
</file>